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B9C48" w14:textId="77777777" w:rsidR="00F01F0B" w:rsidRPr="003E2004" w:rsidRDefault="00F01F0B" w:rsidP="00F01F0B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780A5103" wp14:editId="3ED2CF5C">
            <wp:extent cx="5486400" cy="3338950"/>
            <wp:effectExtent l="0" t="0" r="2540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A743DC" w14:textId="77777777" w:rsidR="00F01F0B" w:rsidRPr="003E2004" w:rsidRDefault="00F01F0B" w:rsidP="00F01F0B">
      <w:pPr>
        <w:rPr>
          <w:rFonts w:ascii="Arial" w:hAnsi="Arial"/>
          <w:sz w:val="22"/>
          <w:szCs w:val="22"/>
        </w:rPr>
      </w:pPr>
    </w:p>
    <w:p w14:paraId="47E31BC3" w14:textId="77777777" w:rsidR="00F01F0B" w:rsidRPr="003E2004" w:rsidRDefault="00263A6F" w:rsidP="00F01F0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="00F01F0B" w:rsidRPr="003E2004">
        <w:rPr>
          <w:rFonts w:ascii="Arial" w:hAnsi="Arial"/>
          <w:sz w:val="22"/>
          <w:szCs w:val="22"/>
        </w:rPr>
        <w:t xml:space="preserve"> 2. </w:t>
      </w:r>
      <w:proofErr w:type="gramStart"/>
      <w:r w:rsidR="00F01F0B" w:rsidRPr="003E2004">
        <w:rPr>
          <w:rFonts w:ascii="Arial" w:hAnsi="Arial"/>
          <w:sz w:val="22"/>
          <w:szCs w:val="22"/>
        </w:rPr>
        <w:t>Keyword occurrences and articles in database, 1962-2013.</w:t>
      </w:r>
      <w:proofErr w:type="gramEnd"/>
    </w:p>
    <w:p w14:paraId="6EACD8E9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0B"/>
    <w:rsid w:val="00263A6F"/>
    <w:rsid w:val="00277754"/>
    <w:rsid w:val="00391490"/>
    <w:rsid w:val="00625FFF"/>
    <w:rsid w:val="006D25A0"/>
    <w:rsid w:val="00A7455D"/>
    <w:rsid w:val="00D802BF"/>
    <w:rsid w:val="00F01F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DCC6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0B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0B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Keyword hits</c:v>
                </c:pt>
              </c:strCache>
            </c:strRef>
          </c:tx>
          <c:marker>
            <c:symbol val="none"/>
          </c:marker>
          <c:cat>
            <c:strRef>
              <c:f>Sheet1!$C:$C</c:f>
              <c:strCache>
                <c:ptCount val="53"/>
                <c:pt idx="0">
                  <c:v>Year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</c:strCache>
            </c:strRef>
          </c:cat>
          <c:val>
            <c:numRef>
              <c:f>Sheet1!$A$2:$A$53</c:f>
              <c:numCache>
                <c:formatCode>General</c:formatCode>
                <c:ptCount val="52"/>
                <c:pt idx="0">
                  <c:v>26.0</c:v>
                </c:pt>
                <c:pt idx="1">
                  <c:v>127.0</c:v>
                </c:pt>
                <c:pt idx="2">
                  <c:v>85.0</c:v>
                </c:pt>
                <c:pt idx="3">
                  <c:v>138.0</c:v>
                </c:pt>
                <c:pt idx="4">
                  <c:v>340.0</c:v>
                </c:pt>
                <c:pt idx="5">
                  <c:v>280.0</c:v>
                </c:pt>
                <c:pt idx="6">
                  <c:v>361.0</c:v>
                </c:pt>
                <c:pt idx="7">
                  <c:v>411.0</c:v>
                </c:pt>
                <c:pt idx="8">
                  <c:v>585.0</c:v>
                </c:pt>
                <c:pt idx="9">
                  <c:v>854.0</c:v>
                </c:pt>
                <c:pt idx="10">
                  <c:v>1355.0</c:v>
                </c:pt>
                <c:pt idx="11">
                  <c:v>1798.0</c:v>
                </c:pt>
                <c:pt idx="12">
                  <c:v>1817.0</c:v>
                </c:pt>
                <c:pt idx="13">
                  <c:v>2739.0</c:v>
                </c:pt>
                <c:pt idx="14">
                  <c:v>2931.0</c:v>
                </c:pt>
                <c:pt idx="15">
                  <c:v>2137.0</c:v>
                </c:pt>
                <c:pt idx="16">
                  <c:v>2399.0</c:v>
                </c:pt>
                <c:pt idx="17">
                  <c:v>2316.0</c:v>
                </c:pt>
                <c:pt idx="18">
                  <c:v>1305.0</c:v>
                </c:pt>
                <c:pt idx="19">
                  <c:v>1156.0</c:v>
                </c:pt>
                <c:pt idx="20">
                  <c:v>1699.0</c:v>
                </c:pt>
                <c:pt idx="21">
                  <c:v>1135.0</c:v>
                </c:pt>
                <c:pt idx="22">
                  <c:v>1120.0</c:v>
                </c:pt>
                <c:pt idx="23">
                  <c:v>703.0</c:v>
                </c:pt>
                <c:pt idx="24">
                  <c:v>1054.0</c:v>
                </c:pt>
                <c:pt idx="25">
                  <c:v>917.0</c:v>
                </c:pt>
                <c:pt idx="26">
                  <c:v>971.0</c:v>
                </c:pt>
                <c:pt idx="27">
                  <c:v>1013.0</c:v>
                </c:pt>
                <c:pt idx="28">
                  <c:v>1051.0</c:v>
                </c:pt>
                <c:pt idx="29">
                  <c:v>1146.0</c:v>
                </c:pt>
                <c:pt idx="30">
                  <c:v>1085.0</c:v>
                </c:pt>
                <c:pt idx="31">
                  <c:v>917.0</c:v>
                </c:pt>
                <c:pt idx="32">
                  <c:v>1203.0</c:v>
                </c:pt>
                <c:pt idx="33">
                  <c:v>1146.0</c:v>
                </c:pt>
                <c:pt idx="34">
                  <c:v>939.0</c:v>
                </c:pt>
                <c:pt idx="35">
                  <c:v>1406.0</c:v>
                </c:pt>
                <c:pt idx="36">
                  <c:v>1260.0</c:v>
                </c:pt>
                <c:pt idx="37">
                  <c:v>1186.0</c:v>
                </c:pt>
                <c:pt idx="38">
                  <c:v>1128.0</c:v>
                </c:pt>
                <c:pt idx="39">
                  <c:v>1456.0</c:v>
                </c:pt>
                <c:pt idx="40">
                  <c:v>1417.0</c:v>
                </c:pt>
                <c:pt idx="41">
                  <c:v>1122.0</c:v>
                </c:pt>
                <c:pt idx="42">
                  <c:v>960.0</c:v>
                </c:pt>
                <c:pt idx="43">
                  <c:v>706.0</c:v>
                </c:pt>
                <c:pt idx="44">
                  <c:v>771.0</c:v>
                </c:pt>
                <c:pt idx="45">
                  <c:v>742.0</c:v>
                </c:pt>
                <c:pt idx="46">
                  <c:v>605.0</c:v>
                </c:pt>
                <c:pt idx="47">
                  <c:v>752.0</c:v>
                </c:pt>
                <c:pt idx="48">
                  <c:v>407.0</c:v>
                </c:pt>
                <c:pt idx="49">
                  <c:v>253.0</c:v>
                </c:pt>
                <c:pt idx="50">
                  <c:v>229.0</c:v>
                </c:pt>
                <c:pt idx="51">
                  <c:v>5.0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Number of articles</c:v>
                </c:pt>
              </c:strCache>
            </c:strRef>
          </c:tx>
          <c:marker>
            <c:symbol val="none"/>
          </c:marker>
          <c:cat>
            <c:strRef>
              <c:f>Sheet1!$C:$C</c:f>
              <c:strCache>
                <c:ptCount val="53"/>
                <c:pt idx="0">
                  <c:v>Year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</c:strCache>
            </c:strRef>
          </c:cat>
          <c:val>
            <c:numRef>
              <c:f>Sheet1!$B$2:$B$53</c:f>
              <c:numCache>
                <c:formatCode>General</c:formatCode>
                <c:ptCount val="52"/>
                <c:pt idx="0">
                  <c:v>1.0</c:v>
                </c:pt>
                <c:pt idx="1">
                  <c:v>1.0</c:v>
                </c:pt>
                <c:pt idx="2">
                  <c:v>14.0</c:v>
                </c:pt>
                <c:pt idx="3">
                  <c:v>46.0</c:v>
                </c:pt>
                <c:pt idx="4">
                  <c:v>30.0</c:v>
                </c:pt>
                <c:pt idx="5">
                  <c:v>105.0</c:v>
                </c:pt>
                <c:pt idx="6">
                  <c:v>173.0</c:v>
                </c:pt>
                <c:pt idx="7">
                  <c:v>197.0</c:v>
                </c:pt>
                <c:pt idx="8">
                  <c:v>205.0</c:v>
                </c:pt>
                <c:pt idx="9">
                  <c:v>294.0</c:v>
                </c:pt>
                <c:pt idx="10">
                  <c:v>349.0</c:v>
                </c:pt>
                <c:pt idx="11">
                  <c:v>505.0</c:v>
                </c:pt>
                <c:pt idx="12">
                  <c:v>689.0</c:v>
                </c:pt>
                <c:pt idx="13">
                  <c:v>939.0</c:v>
                </c:pt>
                <c:pt idx="14">
                  <c:v>801.0</c:v>
                </c:pt>
                <c:pt idx="15">
                  <c:v>1190.0</c:v>
                </c:pt>
                <c:pt idx="16">
                  <c:v>1234.0</c:v>
                </c:pt>
                <c:pt idx="17">
                  <c:v>919.0</c:v>
                </c:pt>
                <c:pt idx="18">
                  <c:v>941.0</c:v>
                </c:pt>
                <c:pt idx="19">
                  <c:v>795.0</c:v>
                </c:pt>
                <c:pt idx="20">
                  <c:v>461.0</c:v>
                </c:pt>
                <c:pt idx="21">
                  <c:v>363.0</c:v>
                </c:pt>
                <c:pt idx="22">
                  <c:v>598.0</c:v>
                </c:pt>
                <c:pt idx="23">
                  <c:v>427.0</c:v>
                </c:pt>
                <c:pt idx="24">
                  <c:v>463.0</c:v>
                </c:pt>
                <c:pt idx="25">
                  <c:v>347.0</c:v>
                </c:pt>
                <c:pt idx="26">
                  <c:v>424.0</c:v>
                </c:pt>
                <c:pt idx="27">
                  <c:v>325.0</c:v>
                </c:pt>
                <c:pt idx="28">
                  <c:v>318.0</c:v>
                </c:pt>
                <c:pt idx="29">
                  <c:v>379.0</c:v>
                </c:pt>
                <c:pt idx="30">
                  <c:v>379.0</c:v>
                </c:pt>
                <c:pt idx="31">
                  <c:v>404.0</c:v>
                </c:pt>
                <c:pt idx="32">
                  <c:v>380.0</c:v>
                </c:pt>
                <c:pt idx="33">
                  <c:v>330.0</c:v>
                </c:pt>
                <c:pt idx="34">
                  <c:v>381.0</c:v>
                </c:pt>
                <c:pt idx="35">
                  <c:v>415.0</c:v>
                </c:pt>
                <c:pt idx="36">
                  <c:v>322.0</c:v>
                </c:pt>
                <c:pt idx="37">
                  <c:v>487.0</c:v>
                </c:pt>
                <c:pt idx="38">
                  <c:v>466.0</c:v>
                </c:pt>
                <c:pt idx="39">
                  <c:v>425.0</c:v>
                </c:pt>
                <c:pt idx="40">
                  <c:v>480.0</c:v>
                </c:pt>
                <c:pt idx="41">
                  <c:v>600.0</c:v>
                </c:pt>
                <c:pt idx="42">
                  <c:v>543.0</c:v>
                </c:pt>
                <c:pt idx="43">
                  <c:v>434.0</c:v>
                </c:pt>
                <c:pt idx="44">
                  <c:v>394.0</c:v>
                </c:pt>
                <c:pt idx="45">
                  <c:v>328.0</c:v>
                </c:pt>
                <c:pt idx="46">
                  <c:v>268.0</c:v>
                </c:pt>
                <c:pt idx="47">
                  <c:v>240.0</c:v>
                </c:pt>
                <c:pt idx="48">
                  <c:v>207.0</c:v>
                </c:pt>
                <c:pt idx="49">
                  <c:v>260.0</c:v>
                </c:pt>
                <c:pt idx="50">
                  <c:v>152.0</c:v>
                </c:pt>
                <c:pt idx="51">
                  <c:v>113.0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40910440"/>
        <c:axId val="-2143143256"/>
      </c:lineChart>
      <c:catAx>
        <c:axId val="-2140910440"/>
        <c:scaling>
          <c:orientation val="minMax"/>
        </c:scaling>
        <c:delete val="0"/>
        <c:axPos val="b"/>
        <c:majorTickMark val="out"/>
        <c:minorTickMark val="none"/>
        <c:tickLblPos val="nextTo"/>
        <c:crossAx val="-2143143256"/>
        <c:crosses val="autoZero"/>
        <c:auto val="1"/>
        <c:lblAlgn val="ctr"/>
        <c:lblOffset val="100"/>
        <c:noMultiLvlLbl val="0"/>
      </c:catAx>
      <c:valAx>
        <c:axId val="-2143143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40910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3</cp:revision>
  <dcterms:created xsi:type="dcterms:W3CDTF">2013-05-08T11:37:00Z</dcterms:created>
  <dcterms:modified xsi:type="dcterms:W3CDTF">2013-05-08T14:58:00Z</dcterms:modified>
  <cp:category/>
</cp:coreProperties>
</file>