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271F5" w14:textId="77777777" w:rsidR="007025A9" w:rsidRPr="003E2004" w:rsidRDefault="007025A9" w:rsidP="007025A9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39F82762" wp14:editId="000B9C2B">
            <wp:extent cx="4572000" cy="2743200"/>
            <wp:effectExtent l="0" t="0" r="25400" b="2540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D4A76E2" w14:textId="77777777" w:rsidR="007025A9" w:rsidRPr="003E2004" w:rsidRDefault="007025A9" w:rsidP="007025A9">
      <w:pPr>
        <w:rPr>
          <w:rFonts w:ascii="Arial" w:hAnsi="Arial"/>
          <w:sz w:val="22"/>
          <w:szCs w:val="22"/>
        </w:rPr>
      </w:pPr>
    </w:p>
    <w:p w14:paraId="4CBF7C64" w14:textId="77777777" w:rsidR="007025A9" w:rsidRPr="003E2004" w:rsidRDefault="007025A9" w:rsidP="007025A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</w:t>
      </w:r>
      <w:r w:rsidRPr="003E2004">
        <w:rPr>
          <w:rFonts w:ascii="Arial" w:hAnsi="Arial"/>
          <w:sz w:val="22"/>
          <w:szCs w:val="22"/>
        </w:rPr>
        <w:t xml:space="preserve"> 4. </w:t>
      </w:r>
      <w:proofErr w:type="gramStart"/>
      <w:r w:rsidRPr="003E2004">
        <w:rPr>
          <w:rFonts w:ascii="Arial" w:hAnsi="Arial"/>
          <w:sz w:val="22"/>
          <w:szCs w:val="22"/>
        </w:rPr>
        <w:t>Frequency of keywords “market,” “marketing,” “marketable,” 1962-2013.</w:t>
      </w:r>
      <w:proofErr w:type="gramEnd"/>
    </w:p>
    <w:p w14:paraId="6913DC52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A9"/>
    <w:rsid w:val="00277754"/>
    <w:rsid w:val="00391490"/>
    <w:rsid w:val="006D25A0"/>
    <w:rsid w:val="007025A9"/>
    <w:rsid w:val="00A7455D"/>
    <w:rsid w:val="00C5201E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C96A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5A9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A9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5A9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A9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14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Market</a:t>
            </a:r>
            <a:r>
              <a:rPr lang="en-US" sz="1200" baseline="0"/>
              <a:t> &amp; variants</a:t>
            </a:r>
            <a:endParaRPr lang="en-US" sz="1200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Sheet2!$B$4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numRef>
              <c:f>Sheet2!$A$5:$A$56</c:f>
              <c:numCache>
                <c:formatCode>0</c:formatCode>
                <c:ptCount val="52"/>
                <c:pt idx="0">
                  <c:v>1962.0</c:v>
                </c:pt>
                <c:pt idx="1">
                  <c:v>1963.0</c:v>
                </c:pt>
                <c:pt idx="2">
                  <c:v>1964.0</c:v>
                </c:pt>
                <c:pt idx="3">
                  <c:v>1965.0</c:v>
                </c:pt>
                <c:pt idx="4">
                  <c:v>1966.0</c:v>
                </c:pt>
                <c:pt idx="5">
                  <c:v>1967.0</c:v>
                </c:pt>
                <c:pt idx="6">
                  <c:v>1968.0</c:v>
                </c:pt>
                <c:pt idx="7">
                  <c:v>1969.0</c:v>
                </c:pt>
                <c:pt idx="8">
                  <c:v>1970.0</c:v>
                </c:pt>
                <c:pt idx="9">
                  <c:v>1971.0</c:v>
                </c:pt>
                <c:pt idx="10">
                  <c:v>1972.0</c:v>
                </c:pt>
                <c:pt idx="11">
                  <c:v>1973.0</c:v>
                </c:pt>
                <c:pt idx="12">
                  <c:v>1974.0</c:v>
                </c:pt>
                <c:pt idx="13">
                  <c:v>1975.0</c:v>
                </c:pt>
                <c:pt idx="14">
                  <c:v>1976.0</c:v>
                </c:pt>
                <c:pt idx="15">
                  <c:v>1977.0</c:v>
                </c:pt>
                <c:pt idx="16">
                  <c:v>1978.0</c:v>
                </c:pt>
                <c:pt idx="17">
                  <c:v>1979.0</c:v>
                </c:pt>
                <c:pt idx="18">
                  <c:v>1980.0</c:v>
                </c:pt>
                <c:pt idx="19">
                  <c:v>1981.0</c:v>
                </c:pt>
                <c:pt idx="20">
                  <c:v>1982.0</c:v>
                </c:pt>
                <c:pt idx="21">
                  <c:v>1983.0</c:v>
                </c:pt>
                <c:pt idx="22">
                  <c:v>1984.0</c:v>
                </c:pt>
                <c:pt idx="23">
                  <c:v>1985.0</c:v>
                </c:pt>
                <c:pt idx="24">
                  <c:v>1986.0</c:v>
                </c:pt>
                <c:pt idx="25">
                  <c:v>1987.0</c:v>
                </c:pt>
                <c:pt idx="26">
                  <c:v>1988.0</c:v>
                </c:pt>
                <c:pt idx="27">
                  <c:v>1989.0</c:v>
                </c:pt>
                <c:pt idx="28">
                  <c:v>1990.0</c:v>
                </c:pt>
                <c:pt idx="29">
                  <c:v>1991.0</c:v>
                </c:pt>
                <c:pt idx="30">
                  <c:v>1992.0</c:v>
                </c:pt>
                <c:pt idx="31">
                  <c:v>1993.0</c:v>
                </c:pt>
                <c:pt idx="32">
                  <c:v>1994.0</c:v>
                </c:pt>
                <c:pt idx="33">
                  <c:v>1995.0</c:v>
                </c:pt>
                <c:pt idx="34">
                  <c:v>1996.0</c:v>
                </c:pt>
                <c:pt idx="35">
                  <c:v>1997.0</c:v>
                </c:pt>
                <c:pt idx="36">
                  <c:v>1998.0</c:v>
                </c:pt>
                <c:pt idx="37">
                  <c:v>1999.0</c:v>
                </c:pt>
                <c:pt idx="38">
                  <c:v>2000.0</c:v>
                </c:pt>
                <c:pt idx="39">
                  <c:v>2001.0</c:v>
                </c:pt>
                <c:pt idx="40">
                  <c:v>2002.0</c:v>
                </c:pt>
                <c:pt idx="41">
                  <c:v>2003.0</c:v>
                </c:pt>
                <c:pt idx="42">
                  <c:v>2004.0</c:v>
                </c:pt>
                <c:pt idx="43">
                  <c:v>2005.0</c:v>
                </c:pt>
                <c:pt idx="44">
                  <c:v>2006.0</c:v>
                </c:pt>
                <c:pt idx="45">
                  <c:v>2007.0</c:v>
                </c:pt>
                <c:pt idx="46">
                  <c:v>2008.0</c:v>
                </c:pt>
                <c:pt idx="47">
                  <c:v>2009.0</c:v>
                </c:pt>
                <c:pt idx="48">
                  <c:v>2010.0</c:v>
                </c:pt>
                <c:pt idx="49">
                  <c:v>2011.0</c:v>
                </c:pt>
                <c:pt idx="50">
                  <c:v>2012.0</c:v>
                </c:pt>
                <c:pt idx="51">
                  <c:v>2013.0</c:v>
                </c:pt>
              </c:numCache>
            </c:numRef>
          </c:cat>
          <c:val>
            <c:numRef>
              <c:f>Sheet2!$B$5:$B$56</c:f>
              <c:numCache>
                <c:formatCode>General</c:formatCode>
                <c:ptCount val="52"/>
                <c:pt idx="0">
                  <c:v>1.0</c:v>
                </c:pt>
                <c:pt idx="1">
                  <c:v>5.0</c:v>
                </c:pt>
                <c:pt idx="2">
                  <c:v>6.0</c:v>
                </c:pt>
                <c:pt idx="3">
                  <c:v>9.0</c:v>
                </c:pt>
                <c:pt idx="4">
                  <c:v>17.0</c:v>
                </c:pt>
                <c:pt idx="5">
                  <c:v>15.0</c:v>
                </c:pt>
                <c:pt idx="6">
                  <c:v>19.0</c:v>
                </c:pt>
                <c:pt idx="7">
                  <c:v>31.0</c:v>
                </c:pt>
                <c:pt idx="8">
                  <c:v>26.0</c:v>
                </c:pt>
                <c:pt idx="9">
                  <c:v>37.0</c:v>
                </c:pt>
                <c:pt idx="10">
                  <c:v>58.0</c:v>
                </c:pt>
                <c:pt idx="11">
                  <c:v>106.0</c:v>
                </c:pt>
                <c:pt idx="12">
                  <c:v>84.0</c:v>
                </c:pt>
                <c:pt idx="13">
                  <c:v>151.0</c:v>
                </c:pt>
                <c:pt idx="14">
                  <c:v>153.0</c:v>
                </c:pt>
                <c:pt idx="15">
                  <c:v>135.0</c:v>
                </c:pt>
                <c:pt idx="16">
                  <c:v>155.0</c:v>
                </c:pt>
                <c:pt idx="17">
                  <c:v>169.0</c:v>
                </c:pt>
                <c:pt idx="18">
                  <c:v>74.0</c:v>
                </c:pt>
                <c:pt idx="19">
                  <c:v>51.0</c:v>
                </c:pt>
                <c:pt idx="20">
                  <c:v>70.0</c:v>
                </c:pt>
                <c:pt idx="21">
                  <c:v>44.0</c:v>
                </c:pt>
                <c:pt idx="22">
                  <c:v>58.0</c:v>
                </c:pt>
                <c:pt idx="23">
                  <c:v>27.0</c:v>
                </c:pt>
                <c:pt idx="24">
                  <c:v>69.0</c:v>
                </c:pt>
                <c:pt idx="25">
                  <c:v>54.0</c:v>
                </c:pt>
                <c:pt idx="26">
                  <c:v>48.0</c:v>
                </c:pt>
                <c:pt idx="27">
                  <c:v>61.0</c:v>
                </c:pt>
                <c:pt idx="28">
                  <c:v>43.0</c:v>
                </c:pt>
                <c:pt idx="29">
                  <c:v>67.0</c:v>
                </c:pt>
                <c:pt idx="30">
                  <c:v>61.0</c:v>
                </c:pt>
                <c:pt idx="31">
                  <c:v>57.0</c:v>
                </c:pt>
                <c:pt idx="32">
                  <c:v>62.0</c:v>
                </c:pt>
                <c:pt idx="33">
                  <c:v>56.0</c:v>
                </c:pt>
                <c:pt idx="34">
                  <c:v>29.0</c:v>
                </c:pt>
                <c:pt idx="35">
                  <c:v>63.0</c:v>
                </c:pt>
                <c:pt idx="36">
                  <c:v>63.0</c:v>
                </c:pt>
                <c:pt idx="37">
                  <c:v>49.0</c:v>
                </c:pt>
                <c:pt idx="38">
                  <c:v>404.0</c:v>
                </c:pt>
                <c:pt idx="39">
                  <c:v>62.0</c:v>
                </c:pt>
                <c:pt idx="40">
                  <c:v>66.0</c:v>
                </c:pt>
                <c:pt idx="41">
                  <c:v>54.0</c:v>
                </c:pt>
                <c:pt idx="42">
                  <c:v>44.0</c:v>
                </c:pt>
                <c:pt idx="43">
                  <c:v>32.0</c:v>
                </c:pt>
                <c:pt idx="44">
                  <c:v>33.0</c:v>
                </c:pt>
                <c:pt idx="45">
                  <c:v>31.0</c:v>
                </c:pt>
                <c:pt idx="46">
                  <c:v>27.0</c:v>
                </c:pt>
                <c:pt idx="47">
                  <c:v>39.0</c:v>
                </c:pt>
                <c:pt idx="48">
                  <c:v>19.0</c:v>
                </c:pt>
                <c:pt idx="49">
                  <c:v>14.0</c:v>
                </c:pt>
                <c:pt idx="50">
                  <c:v>6.0</c:v>
                </c:pt>
                <c:pt idx="51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0919864"/>
        <c:axId val="-2120900152"/>
      </c:barChart>
      <c:catAx>
        <c:axId val="-212091986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crossAx val="-2120900152"/>
        <c:crosses val="autoZero"/>
        <c:auto val="1"/>
        <c:lblAlgn val="ctr"/>
        <c:lblOffset val="100"/>
        <c:noMultiLvlLbl val="0"/>
      </c:catAx>
      <c:valAx>
        <c:axId val="-2120900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209198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71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2013-05-08T11:46:00Z</dcterms:created>
  <dcterms:modified xsi:type="dcterms:W3CDTF">2013-05-08T14:58:00Z</dcterms:modified>
  <cp:category/>
</cp:coreProperties>
</file>